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62452A" w:rsidRDefault="0062452A" w:rsidP="001D149A">
      <w:pPr>
        <w:spacing w:after="0" w:line="480" w:lineRule="auto"/>
        <w:contextualSpacing/>
        <w:jc w:val="center"/>
        <w:rPr>
          <w:rFonts w:ascii="Times New Roman" w:hAnsi="Times New Roman"/>
          <w:sz w:val="24"/>
          <w:szCs w:val="24"/>
        </w:rPr>
      </w:pPr>
    </w:p>
    <w:p w:rsidR="0062452A" w:rsidRPr="001D149A" w:rsidRDefault="0062452A" w:rsidP="001D149A">
      <w:pPr>
        <w:spacing w:after="0" w:line="480" w:lineRule="auto"/>
        <w:contextualSpacing/>
        <w:jc w:val="center"/>
        <w:rPr>
          <w:rFonts w:ascii="Times New Roman" w:hAnsi="Times New Roman"/>
          <w:sz w:val="24"/>
          <w:szCs w:val="24"/>
        </w:rPr>
      </w:pPr>
    </w:p>
    <w:p w:rsidR="00C7314B" w:rsidRDefault="00B4711C" w:rsidP="00C7314B">
      <w:pPr>
        <w:spacing w:after="0" w:line="480" w:lineRule="auto"/>
        <w:jc w:val="center"/>
        <w:rPr>
          <w:rFonts w:ascii="Times New Roman" w:hAnsi="Times New Roman"/>
          <w:sz w:val="24"/>
          <w:szCs w:val="24"/>
          <w:shd w:val="clear" w:color="auto" w:fill="FFFFFF"/>
        </w:rPr>
      </w:pPr>
      <w:r>
        <w:rPr>
          <w:rFonts w:ascii="Times New Roman" w:hAnsi="Times New Roman"/>
          <w:sz w:val="24"/>
        </w:rPr>
        <w:t>Responses</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154E03" w:rsidRDefault="00FF557B" w:rsidP="00154E03">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br w:type="page"/>
      </w:r>
      <w:r w:rsidR="00B4711C">
        <w:rPr>
          <w:rFonts w:ascii="Times New Roman" w:hAnsi="Times New Roman"/>
          <w:sz w:val="24"/>
        </w:rPr>
        <w:lastRenderedPageBreak/>
        <w:t>Responses</w:t>
      </w:r>
    </w:p>
    <w:p w:rsidR="00FD0EA7" w:rsidRDefault="00B34505" w:rsidP="00154E03">
      <w:pPr>
        <w:spacing w:after="0" w:line="480" w:lineRule="auto"/>
        <w:contextualSpacing/>
        <w:jc w:val="both"/>
        <w:rPr>
          <w:rFonts w:ascii="Times New Roman" w:eastAsia="Times New Roman" w:hAnsi="Times New Roman"/>
          <w:sz w:val="24"/>
          <w:szCs w:val="24"/>
        </w:rPr>
      </w:pPr>
      <w:r>
        <w:rPr>
          <w:rFonts w:ascii="Times New Roman" w:eastAsia="Times New Roman" w:hAnsi="Times New Roman"/>
          <w:sz w:val="24"/>
          <w:szCs w:val="24"/>
        </w:rPr>
        <w:t>Reply to Annalesia Bennett</w:t>
      </w:r>
    </w:p>
    <w:p w:rsidR="00A74F5C" w:rsidRDefault="002721F7" w:rsidP="00E84EA3">
      <w:pPr>
        <w:spacing w:after="0" w:line="480" w:lineRule="auto"/>
        <w:ind w:firstLine="720"/>
        <w:contextualSpacing/>
        <w:jc w:val="both"/>
        <w:rPr>
          <w:rFonts w:ascii="Times New Roman" w:eastAsia="Times New Roman" w:hAnsi="Times New Roman"/>
          <w:sz w:val="24"/>
          <w:szCs w:val="24"/>
        </w:rPr>
      </w:pPr>
      <w:r w:rsidRPr="002721F7">
        <w:rPr>
          <w:rFonts w:ascii="Times New Roman" w:eastAsia="Times New Roman" w:hAnsi="Times New Roman"/>
          <w:sz w:val="24"/>
          <w:szCs w:val="24"/>
        </w:rPr>
        <w:t>Hello Annalesia, indeed, the use of IEP measurable goals can be used by the educator when choosing the appropriate teaching strategy; for example, the use of cooperative learning. Other aspects can also be used for the same purpose. For instance, the comparison of the baseline data and the implemented data can also be used to identify the appropriate teaching strategy (Vaughn &amp; Bos, 2015). However, in this case, the identified teaching strategy would be based on the already implemented strategies' effectiveness. Moreover, this acquired data provides actual progress made by the student; thus, the identified teaching strategy at this point is usually focused on improving the student's development.</w:t>
      </w:r>
    </w:p>
    <w:p w:rsidR="00B34505" w:rsidRDefault="00B34505" w:rsidP="00A74F5C">
      <w:pPr>
        <w:spacing w:after="0" w:line="48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References</w:t>
      </w:r>
    </w:p>
    <w:p w:rsidR="007C4599" w:rsidRPr="00E84EA3" w:rsidRDefault="00E84EA3" w:rsidP="00E84EA3">
      <w:pPr>
        <w:spacing w:after="0" w:line="480" w:lineRule="auto"/>
        <w:ind w:left="720" w:hanging="720"/>
        <w:contextualSpacing/>
        <w:jc w:val="both"/>
        <w:rPr>
          <w:rFonts w:ascii="Times New Roman" w:hAnsi="Times New Roman"/>
          <w:sz w:val="24"/>
          <w:szCs w:val="24"/>
          <w:shd w:val="clear" w:color="auto" w:fill="FFFFFF"/>
        </w:rPr>
      </w:pPr>
      <w:r w:rsidRPr="001726D3">
        <w:rPr>
          <w:rFonts w:ascii="Times New Roman" w:hAnsi="Times New Roman"/>
          <w:sz w:val="24"/>
          <w:szCs w:val="24"/>
          <w:shd w:val="clear" w:color="auto" w:fill="FFFFFF"/>
        </w:rPr>
        <w:t>Vaughn, S. &amp; Bos, C. (2015), Strategies for teaching students with learning and behavior problems (9th ed.). Upper Saddle River, NJ: Pearson.</w:t>
      </w:r>
    </w:p>
    <w:p w:rsidR="00B34505" w:rsidRDefault="00B34505" w:rsidP="00154E03">
      <w:pPr>
        <w:spacing w:after="0" w:line="480" w:lineRule="auto"/>
        <w:contextualSpacing/>
        <w:jc w:val="both"/>
        <w:rPr>
          <w:rFonts w:ascii="Times New Roman" w:eastAsia="Times New Roman" w:hAnsi="Times New Roman"/>
          <w:sz w:val="24"/>
          <w:szCs w:val="24"/>
        </w:rPr>
      </w:pPr>
      <w:r>
        <w:rPr>
          <w:rFonts w:ascii="Times New Roman" w:eastAsia="Times New Roman" w:hAnsi="Times New Roman"/>
          <w:sz w:val="24"/>
          <w:szCs w:val="24"/>
        </w:rPr>
        <w:t>Reply to Jocelyn Jarmosik</w:t>
      </w:r>
    </w:p>
    <w:p w:rsidR="00A74F5C" w:rsidRDefault="002721F7" w:rsidP="00303B4B">
      <w:pPr>
        <w:spacing w:after="0" w:line="480" w:lineRule="auto"/>
        <w:ind w:firstLine="720"/>
        <w:contextualSpacing/>
        <w:jc w:val="both"/>
        <w:rPr>
          <w:rFonts w:ascii="Times New Roman" w:eastAsia="Times New Roman" w:hAnsi="Times New Roman"/>
          <w:sz w:val="24"/>
          <w:szCs w:val="24"/>
        </w:rPr>
      </w:pPr>
      <w:r w:rsidRPr="002721F7">
        <w:rPr>
          <w:rFonts w:ascii="Times New Roman" w:eastAsia="Times New Roman" w:hAnsi="Times New Roman"/>
          <w:sz w:val="24"/>
          <w:szCs w:val="24"/>
        </w:rPr>
        <w:t>Hello Jocelyn, indeed, the use of the token economy system as a behavior strategy in Manuel’s case is appropriate considering the behavior challenges he faces (Vaughn &amp; Bos, 2015). However, studies indicate that the use of token economy often has temporary impacts, and after the removal of the token from the agreement, the performance declines back to the baseline level (Ivy et al., 2017). Therefore, it is advised that the use of a token economy is only important for some time, since students with learning disabilities such as Manuel require skills and techniques to make them more independent. However, the use of a token economy system only makes the student dependent on the token to perform specific functions.</w:t>
      </w:r>
    </w:p>
    <w:p w:rsidR="0062452A" w:rsidRDefault="0062452A" w:rsidP="00A74F5C">
      <w:pPr>
        <w:spacing w:after="0" w:line="480" w:lineRule="auto"/>
        <w:contextualSpacing/>
        <w:jc w:val="center"/>
        <w:rPr>
          <w:rFonts w:ascii="Times New Roman" w:eastAsia="Times New Roman" w:hAnsi="Times New Roman"/>
          <w:sz w:val="24"/>
          <w:szCs w:val="24"/>
        </w:rPr>
      </w:pPr>
    </w:p>
    <w:p w:rsidR="00B34505" w:rsidRDefault="00B34505" w:rsidP="00A74F5C">
      <w:pPr>
        <w:spacing w:after="0" w:line="48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References</w:t>
      </w:r>
    </w:p>
    <w:p w:rsidR="008B5A3F" w:rsidRPr="008B5A3F" w:rsidRDefault="008B5A3F" w:rsidP="00303B4B">
      <w:pPr>
        <w:spacing w:after="0" w:line="480" w:lineRule="auto"/>
        <w:ind w:left="720" w:hanging="720"/>
        <w:contextualSpacing/>
        <w:jc w:val="both"/>
        <w:rPr>
          <w:rFonts w:ascii="Times New Roman" w:hAnsi="Times New Roman"/>
          <w:sz w:val="24"/>
          <w:szCs w:val="24"/>
          <w:shd w:val="clear" w:color="auto" w:fill="FFFFFF"/>
        </w:rPr>
      </w:pPr>
      <w:r w:rsidRPr="008B5A3F">
        <w:rPr>
          <w:rFonts w:ascii="Times New Roman" w:hAnsi="Times New Roman"/>
          <w:sz w:val="24"/>
          <w:szCs w:val="24"/>
          <w:shd w:val="clear" w:color="auto" w:fill="FFFFFF"/>
        </w:rPr>
        <w:t>Ivy, J. W., Meindl, J. N., Overley, E., &amp; Robson, K. M. (2017). Token economy: A systematic review of procedural descriptions. </w:t>
      </w:r>
      <w:r w:rsidRPr="008B5A3F">
        <w:rPr>
          <w:rFonts w:ascii="Times New Roman" w:hAnsi="Times New Roman"/>
          <w:i/>
          <w:iCs/>
          <w:sz w:val="24"/>
          <w:szCs w:val="24"/>
          <w:shd w:val="clear" w:color="auto" w:fill="FFFFFF"/>
        </w:rPr>
        <w:t>Behavior modification</w:t>
      </w:r>
      <w:r w:rsidRPr="008B5A3F">
        <w:rPr>
          <w:rFonts w:ascii="Times New Roman" w:hAnsi="Times New Roman"/>
          <w:sz w:val="24"/>
          <w:szCs w:val="24"/>
          <w:shd w:val="clear" w:color="auto" w:fill="FFFFFF"/>
        </w:rPr>
        <w:t>, </w:t>
      </w:r>
      <w:r w:rsidRPr="008B5A3F">
        <w:rPr>
          <w:rFonts w:ascii="Times New Roman" w:hAnsi="Times New Roman"/>
          <w:i/>
          <w:iCs/>
          <w:sz w:val="24"/>
          <w:szCs w:val="24"/>
          <w:shd w:val="clear" w:color="auto" w:fill="FFFFFF"/>
        </w:rPr>
        <w:t>41</w:t>
      </w:r>
      <w:r w:rsidRPr="008B5A3F">
        <w:rPr>
          <w:rFonts w:ascii="Times New Roman" w:hAnsi="Times New Roman"/>
          <w:sz w:val="24"/>
          <w:szCs w:val="24"/>
          <w:shd w:val="clear" w:color="auto" w:fill="FFFFFF"/>
        </w:rPr>
        <w:t>(5), 708-737.</w:t>
      </w:r>
    </w:p>
    <w:p w:rsidR="00087B62" w:rsidRPr="00D603E0" w:rsidRDefault="00303B4B" w:rsidP="00303B4B">
      <w:pPr>
        <w:spacing w:after="0" w:line="480" w:lineRule="auto"/>
        <w:ind w:left="720" w:hanging="720"/>
        <w:contextualSpacing/>
        <w:jc w:val="both"/>
        <w:rPr>
          <w:rFonts w:ascii="Times New Roman" w:hAnsi="Times New Roman"/>
          <w:sz w:val="24"/>
          <w:szCs w:val="24"/>
          <w:shd w:val="clear" w:color="auto" w:fill="FFFFFF"/>
        </w:rPr>
      </w:pPr>
      <w:r w:rsidRPr="001726D3">
        <w:rPr>
          <w:rFonts w:ascii="Times New Roman" w:hAnsi="Times New Roman"/>
          <w:sz w:val="24"/>
          <w:szCs w:val="24"/>
          <w:shd w:val="clear" w:color="auto" w:fill="FFFFFF"/>
        </w:rPr>
        <w:t>Vaughn, S. &amp; Bos, C. (2015), Strategies for teaching students with learning and behavior problems (9th ed.). Upper Saddle River, NJ: Pearson.</w:t>
      </w:r>
    </w:p>
    <w:p w:rsidR="001319E4" w:rsidRPr="001319E4" w:rsidRDefault="001319E4" w:rsidP="00D603E0">
      <w:pPr>
        <w:spacing w:after="0" w:line="480" w:lineRule="auto"/>
        <w:ind w:left="720" w:hanging="720"/>
        <w:contextualSpacing/>
        <w:jc w:val="both"/>
        <w:rPr>
          <w:rFonts w:ascii="Times New Roman" w:hAnsi="Times New Roman"/>
          <w:sz w:val="24"/>
          <w:szCs w:val="24"/>
          <w:shd w:val="clear" w:color="auto" w:fill="FFFFFF"/>
        </w:rPr>
      </w:pPr>
    </w:p>
    <w:sectPr w:rsidR="001319E4" w:rsidRPr="001319E4" w:rsidSect="0097285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7EE1" w:rsidRDefault="00157EE1">
      <w:r>
        <w:separator/>
      </w:r>
    </w:p>
  </w:endnote>
  <w:endnote w:type="continuationSeparator" w:id="1">
    <w:p w:rsidR="00157EE1" w:rsidRDefault="00157EE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7EE1" w:rsidRDefault="00157EE1">
      <w:r>
        <w:separator/>
      </w:r>
    </w:p>
  </w:footnote>
  <w:footnote w:type="continuationSeparator" w:id="1">
    <w:p w:rsidR="00157EE1" w:rsidRDefault="00157EE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B4711C">
    <w:pPr>
      <w:spacing w:after="0" w:line="480" w:lineRule="auto"/>
      <w:contextualSpacing/>
      <w:rPr>
        <w:rFonts w:ascii="Times New Roman" w:hAnsi="Times New Roman"/>
      </w:rPr>
    </w:pPr>
    <w:r>
      <w:rPr>
        <w:rFonts w:ascii="Times New Roman" w:hAnsi="Times New Roman"/>
        <w:sz w:val="24"/>
      </w:rPr>
      <w:t>RESPONSES</w:t>
    </w:r>
    <w:r w:rsidR="00972854"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972854" w:rsidRPr="00A40055">
      <w:rPr>
        <w:rFonts w:ascii="Times New Roman" w:hAnsi="Times New Roman"/>
        <w:sz w:val="24"/>
        <w:szCs w:val="24"/>
      </w:rPr>
      <w:fldChar w:fldCharType="separate"/>
    </w:r>
    <w:r w:rsidR="0062452A">
      <w:rPr>
        <w:rFonts w:ascii="Times New Roman" w:hAnsi="Times New Roman"/>
        <w:noProof/>
        <w:sz w:val="24"/>
        <w:szCs w:val="24"/>
      </w:rPr>
      <w:t>2</w:t>
    </w:r>
    <w:r w:rsidR="00972854"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B4DB9" w:rsidP="00C7314B">
    <w:pPr>
      <w:spacing w:after="0" w:line="480" w:lineRule="auto"/>
    </w:pPr>
    <w:r>
      <w:rPr>
        <w:rFonts w:ascii="Times New Roman" w:hAnsi="Times New Roman"/>
        <w:sz w:val="24"/>
      </w:rPr>
      <w:t>Running head:</w:t>
    </w:r>
    <w:r w:rsidR="0062452A">
      <w:rPr>
        <w:rFonts w:ascii="Times New Roman" w:hAnsi="Times New Roman"/>
        <w:sz w:val="24"/>
      </w:rPr>
      <w:t xml:space="preserve"> </w:t>
    </w:r>
    <w:r w:rsidR="00B4711C">
      <w:rPr>
        <w:rFonts w:ascii="Times New Roman" w:hAnsi="Times New Roman"/>
        <w:sz w:val="24"/>
      </w:rPr>
      <w:t xml:space="preserve">RESPONSES                   </w:t>
    </w:r>
    <w:r w:rsidR="0062452A">
      <w:rPr>
        <w:rFonts w:ascii="Times New Roman" w:hAnsi="Times New Roman"/>
        <w:sz w:val="24"/>
      </w:rPr>
      <w:t xml:space="preserve">                                                                                      </w:t>
    </w:r>
    <w:r w:rsidR="00B4711C">
      <w:rPr>
        <w:rFonts w:ascii="Times New Roman" w:hAnsi="Times New Roman"/>
        <w:sz w:val="24"/>
      </w:rPr>
      <w:t xml:space="preserve">  </w:t>
    </w: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26B04"/>
    <w:rsid w:val="000320B9"/>
    <w:rsid w:val="00044B2D"/>
    <w:rsid w:val="000465F4"/>
    <w:rsid w:val="00050361"/>
    <w:rsid w:val="000751B3"/>
    <w:rsid w:val="00080FCD"/>
    <w:rsid w:val="00087B62"/>
    <w:rsid w:val="000C5BB3"/>
    <w:rsid w:val="000D2730"/>
    <w:rsid w:val="000F2717"/>
    <w:rsid w:val="000F5A80"/>
    <w:rsid w:val="00107E33"/>
    <w:rsid w:val="00107F64"/>
    <w:rsid w:val="00113FFC"/>
    <w:rsid w:val="0013043C"/>
    <w:rsid w:val="00130868"/>
    <w:rsid w:val="001319E4"/>
    <w:rsid w:val="0015018F"/>
    <w:rsid w:val="00150263"/>
    <w:rsid w:val="00150877"/>
    <w:rsid w:val="00154E03"/>
    <w:rsid w:val="00157EE1"/>
    <w:rsid w:val="00194A55"/>
    <w:rsid w:val="001D149A"/>
    <w:rsid w:val="002006CC"/>
    <w:rsid w:val="00223D21"/>
    <w:rsid w:val="002721F7"/>
    <w:rsid w:val="002A6EE0"/>
    <w:rsid w:val="002D4C10"/>
    <w:rsid w:val="00303B4B"/>
    <w:rsid w:val="003073D4"/>
    <w:rsid w:val="003154AA"/>
    <w:rsid w:val="00337292"/>
    <w:rsid w:val="003A6485"/>
    <w:rsid w:val="003B3C46"/>
    <w:rsid w:val="003D6FDA"/>
    <w:rsid w:val="003E7CB9"/>
    <w:rsid w:val="004447C1"/>
    <w:rsid w:val="00470CCD"/>
    <w:rsid w:val="00475DDA"/>
    <w:rsid w:val="004C294C"/>
    <w:rsid w:val="004D5943"/>
    <w:rsid w:val="0052453D"/>
    <w:rsid w:val="005421E9"/>
    <w:rsid w:val="005737A3"/>
    <w:rsid w:val="00593461"/>
    <w:rsid w:val="005F690D"/>
    <w:rsid w:val="00605AA5"/>
    <w:rsid w:val="0060740F"/>
    <w:rsid w:val="0062452A"/>
    <w:rsid w:val="00624D78"/>
    <w:rsid w:val="00626A0F"/>
    <w:rsid w:val="00663437"/>
    <w:rsid w:val="006717A9"/>
    <w:rsid w:val="00674D0D"/>
    <w:rsid w:val="006825EE"/>
    <w:rsid w:val="006A0524"/>
    <w:rsid w:val="006C23C0"/>
    <w:rsid w:val="00757E37"/>
    <w:rsid w:val="00792AA3"/>
    <w:rsid w:val="007B2C2F"/>
    <w:rsid w:val="007B3261"/>
    <w:rsid w:val="007B3937"/>
    <w:rsid w:val="007B4DB9"/>
    <w:rsid w:val="007B5318"/>
    <w:rsid w:val="007C4599"/>
    <w:rsid w:val="00802E45"/>
    <w:rsid w:val="00807470"/>
    <w:rsid w:val="0085790F"/>
    <w:rsid w:val="008958BF"/>
    <w:rsid w:val="008B5A3F"/>
    <w:rsid w:val="008C52FE"/>
    <w:rsid w:val="008D2B08"/>
    <w:rsid w:val="00924BF0"/>
    <w:rsid w:val="00932206"/>
    <w:rsid w:val="0093408A"/>
    <w:rsid w:val="00940859"/>
    <w:rsid w:val="00961A71"/>
    <w:rsid w:val="009626E1"/>
    <w:rsid w:val="0096275F"/>
    <w:rsid w:val="00972854"/>
    <w:rsid w:val="009768B5"/>
    <w:rsid w:val="009829DF"/>
    <w:rsid w:val="009863AA"/>
    <w:rsid w:val="009F1153"/>
    <w:rsid w:val="00A016F0"/>
    <w:rsid w:val="00A40055"/>
    <w:rsid w:val="00A53AA8"/>
    <w:rsid w:val="00A6594B"/>
    <w:rsid w:val="00A74F5C"/>
    <w:rsid w:val="00A82C60"/>
    <w:rsid w:val="00A943A6"/>
    <w:rsid w:val="00A96E99"/>
    <w:rsid w:val="00AC6A21"/>
    <w:rsid w:val="00AE2342"/>
    <w:rsid w:val="00AF7194"/>
    <w:rsid w:val="00B17BD2"/>
    <w:rsid w:val="00B34505"/>
    <w:rsid w:val="00B40DBF"/>
    <w:rsid w:val="00B4711C"/>
    <w:rsid w:val="00B71060"/>
    <w:rsid w:val="00B81460"/>
    <w:rsid w:val="00BB541B"/>
    <w:rsid w:val="00C16ECA"/>
    <w:rsid w:val="00C27B76"/>
    <w:rsid w:val="00C414E2"/>
    <w:rsid w:val="00C46565"/>
    <w:rsid w:val="00C52312"/>
    <w:rsid w:val="00C7314B"/>
    <w:rsid w:val="00C8604C"/>
    <w:rsid w:val="00CA5D31"/>
    <w:rsid w:val="00D3035F"/>
    <w:rsid w:val="00D603E0"/>
    <w:rsid w:val="00D63983"/>
    <w:rsid w:val="00D639C8"/>
    <w:rsid w:val="00E06003"/>
    <w:rsid w:val="00E84EA3"/>
    <w:rsid w:val="00EA4D0D"/>
    <w:rsid w:val="00EC1E7D"/>
    <w:rsid w:val="00EE2423"/>
    <w:rsid w:val="00F00438"/>
    <w:rsid w:val="00F137B6"/>
    <w:rsid w:val="00F16465"/>
    <w:rsid w:val="00F223FC"/>
    <w:rsid w:val="00F2391A"/>
    <w:rsid w:val="00F52648"/>
    <w:rsid w:val="00F87BF7"/>
    <w:rsid w:val="00FD0EA7"/>
    <w:rsid w:val="00FD6C05"/>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72854"/>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972854"/>
    <w:rPr>
      <w:rFonts w:ascii="Symbol" w:hAnsi="Symbol" w:cs="Symbol" w:hint="default"/>
    </w:rPr>
  </w:style>
  <w:style w:type="character" w:customStyle="1" w:styleId="WW8Num1z1">
    <w:name w:val="WW8Num1z1"/>
    <w:rsid w:val="00972854"/>
    <w:rPr>
      <w:rFonts w:ascii="Courier New" w:hAnsi="Courier New" w:cs="Courier New" w:hint="default"/>
    </w:rPr>
  </w:style>
  <w:style w:type="character" w:customStyle="1" w:styleId="WW8Num1z2">
    <w:name w:val="WW8Num1z2"/>
    <w:rsid w:val="00972854"/>
    <w:rPr>
      <w:rFonts w:ascii="Wingdings" w:hAnsi="Wingdings" w:cs="Wingdings" w:hint="default"/>
    </w:rPr>
  </w:style>
  <w:style w:type="character" w:customStyle="1" w:styleId="3">
    <w:name w:val="Основной шрифт абзаца3"/>
    <w:rsid w:val="00972854"/>
  </w:style>
  <w:style w:type="character" w:customStyle="1" w:styleId="5">
    <w:name w:val="Знак Знак5"/>
    <w:rsid w:val="00972854"/>
    <w:rPr>
      <w:sz w:val="22"/>
      <w:szCs w:val="22"/>
      <w:lang w:val="en-US"/>
    </w:rPr>
  </w:style>
  <w:style w:type="character" w:customStyle="1" w:styleId="4">
    <w:name w:val="Знак Знак4"/>
    <w:rsid w:val="00972854"/>
    <w:rPr>
      <w:sz w:val="22"/>
      <w:szCs w:val="22"/>
      <w:lang w:val="en-US"/>
    </w:rPr>
  </w:style>
  <w:style w:type="character" w:customStyle="1" w:styleId="30">
    <w:name w:val="Знак Знак3"/>
    <w:rsid w:val="00972854"/>
    <w:rPr>
      <w:rFonts w:ascii="Tahoma" w:hAnsi="Tahoma" w:cs="Tahoma"/>
      <w:sz w:val="16"/>
      <w:szCs w:val="16"/>
      <w:lang w:val="en-US"/>
    </w:rPr>
  </w:style>
  <w:style w:type="character" w:customStyle="1" w:styleId="2">
    <w:name w:val="Знак примечания2"/>
    <w:rsid w:val="00972854"/>
    <w:rPr>
      <w:sz w:val="16"/>
      <w:szCs w:val="16"/>
    </w:rPr>
  </w:style>
  <w:style w:type="character" w:customStyle="1" w:styleId="20">
    <w:name w:val="Знак Знак2"/>
    <w:rsid w:val="00972854"/>
    <w:rPr>
      <w:lang w:val="en-US"/>
    </w:rPr>
  </w:style>
  <w:style w:type="character" w:customStyle="1" w:styleId="1">
    <w:name w:val="Знак Знак1"/>
    <w:rsid w:val="00972854"/>
    <w:rPr>
      <w:b/>
      <w:bCs/>
      <w:lang w:val="en-US"/>
    </w:rPr>
  </w:style>
  <w:style w:type="character" w:customStyle="1" w:styleId="10">
    <w:name w:val="Основной шрифт абзаца1"/>
    <w:rsid w:val="00972854"/>
  </w:style>
  <w:style w:type="character" w:customStyle="1" w:styleId="21">
    <w:name w:val="Основной шрифт абзаца2"/>
    <w:rsid w:val="00972854"/>
  </w:style>
  <w:style w:type="character" w:customStyle="1" w:styleId="FooterChar">
    <w:name w:val="Footer Char"/>
    <w:rsid w:val="00972854"/>
    <w:rPr>
      <w:rFonts w:ascii="Times New Roman" w:eastAsia="Times New Roman" w:hAnsi="Times New Roman" w:cs="Times New Roman"/>
      <w:sz w:val="24"/>
      <w:szCs w:val="24"/>
      <w:lang w:val="ru-RU"/>
    </w:rPr>
  </w:style>
  <w:style w:type="character" w:customStyle="1" w:styleId="11">
    <w:name w:val="Знак примечания1"/>
    <w:rsid w:val="00972854"/>
    <w:rPr>
      <w:sz w:val="16"/>
      <w:szCs w:val="16"/>
    </w:rPr>
  </w:style>
  <w:style w:type="character" w:customStyle="1" w:styleId="CommentTextChar">
    <w:name w:val="Comment Text Char"/>
    <w:rsid w:val="00972854"/>
    <w:rPr>
      <w:rFonts w:ascii="Times New Roman" w:eastAsia="Times New Roman" w:hAnsi="Times New Roman" w:cs="Times New Roman"/>
      <w:sz w:val="20"/>
      <w:szCs w:val="20"/>
      <w:lang w:val="ru-RU"/>
    </w:rPr>
  </w:style>
  <w:style w:type="character" w:customStyle="1" w:styleId="CommentSubjectChar">
    <w:name w:val="Comment Subject Char"/>
    <w:rsid w:val="00972854"/>
    <w:rPr>
      <w:rFonts w:ascii="Times New Roman" w:eastAsia="Times New Roman" w:hAnsi="Times New Roman" w:cs="Times New Roman"/>
      <w:b/>
      <w:bCs/>
      <w:sz w:val="20"/>
      <w:szCs w:val="20"/>
      <w:lang w:val="ru-RU"/>
    </w:rPr>
  </w:style>
  <w:style w:type="character" w:customStyle="1" w:styleId="BalloonTextChar">
    <w:name w:val="Balloon Text Char"/>
    <w:rsid w:val="00972854"/>
    <w:rPr>
      <w:rFonts w:ascii="Tahoma" w:eastAsia="Times New Roman" w:hAnsi="Tahoma" w:cs="Tahoma"/>
      <w:sz w:val="16"/>
      <w:szCs w:val="16"/>
      <w:lang w:val="ru-RU"/>
    </w:rPr>
  </w:style>
  <w:style w:type="character" w:customStyle="1" w:styleId="HeaderChar">
    <w:name w:val="Header Char"/>
    <w:rsid w:val="00972854"/>
    <w:rPr>
      <w:rFonts w:ascii="Times New Roman" w:eastAsia="Times New Roman" w:hAnsi="Times New Roman" w:cs="Times New Roman"/>
      <w:sz w:val="24"/>
      <w:szCs w:val="24"/>
      <w:lang w:val="ru-RU"/>
    </w:rPr>
  </w:style>
  <w:style w:type="character" w:customStyle="1" w:styleId="FootnoteTextChar">
    <w:name w:val="Footnote Text Char"/>
    <w:rsid w:val="00972854"/>
    <w:rPr>
      <w:rFonts w:ascii="Times New Roman" w:eastAsia="Times New Roman" w:hAnsi="Times New Roman" w:cs="Times New Roman"/>
      <w:lang w:val="ru-RU"/>
    </w:rPr>
  </w:style>
  <w:style w:type="character" w:customStyle="1" w:styleId="12">
    <w:name w:val="Знак сноски1"/>
    <w:rsid w:val="00972854"/>
    <w:rPr>
      <w:vertAlign w:val="superscript"/>
    </w:rPr>
  </w:style>
  <w:style w:type="character" w:styleId="Hyperlink">
    <w:name w:val="Hyperlink"/>
    <w:rsid w:val="00972854"/>
    <w:rPr>
      <w:color w:val="0000FF"/>
      <w:u w:val="single"/>
      <w:lang w:val="en-US" w:bidi="en-US"/>
    </w:rPr>
  </w:style>
  <w:style w:type="character" w:customStyle="1" w:styleId="ListLabel1">
    <w:name w:val="ListLabel 1"/>
    <w:rsid w:val="00972854"/>
    <w:rPr>
      <w:rFonts w:eastAsia="Times New Roman" w:cs="Times New Roman"/>
    </w:rPr>
  </w:style>
  <w:style w:type="character" w:customStyle="1" w:styleId="ListLabel2">
    <w:name w:val="ListLabel 2"/>
    <w:rsid w:val="00972854"/>
    <w:rPr>
      <w:rFonts w:cs="Courier New"/>
    </w:rPr>
  </w:style>
  <w:style w:type="character" w:customStyle="1" w:styleId="a">
    <w:name w:val="Знак Знак"/>
    <w:rsid w:val="00972854"/>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972854"/>
  </w:style>
  <w:style w:type="character" w:customStyle="1" w:styleId="selectable">
    <w:name w:val="selectable"/>
    <w:rsid w:val="00972854"/>
  </w:style>
  <w:style w:type="character" w:styleId="Strong">
    <w:name w:val="Strong"/>
    <w:qFormat/>
    <w:rsid w:val="00972854"/>
    <w:rPr>
      <w:b/>
      <w:bCs/>
    </w:rPr>
  </w:style>
  <w:style w:type="paragraph" w:customStyle="1" w:styleId="13">
    <w:name w:val="Заголовок1"/>
    <w:basedOn w:val="Normal"/>
    <w:next w:val="BodyText"/>
    <w:rsid w:val="00972854"/>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972854"/>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972854"/>
    <w:rPr>
      <w:rFonts w:cs="Lohit Hindi"/>
    </w:rPr>
  </w:style>
  <w:style w:type="paragraph" w:styleId="Caption">
    <w:name w:val="caption"/>
    <w:basedOn w:val="Normal"/>
    <w:qFormat/>
    <w:rsid w:val="00972854"/>
    <w:pPr>
      <w:suppressLineNumbers/>
      <w:spacing w:before="120" w:after="120"/>
    </w:pPr>
    <w:rPr>
      <w:rFonts w:cs="Arial"/>
      <w:i/>
      <w:iCs/>
      <w:sz w:val="24"/>
      <w:szCs w:val="24"/>
    </w:rPr>
  </w:style>
  <w:style w:type="paragraph" w:customStyle="1" w:styleId="a0">
    <w:name w:val="Покажчик"/>
    <w:basedOn w:val="Normal"/>
    <w:rsid w:val="00972854"/>
    <w:pPr>
      <w:suppressLineNumbers/>
    </w:pPr>
    <w:rPr>
      <w:rFonts w:cs="Arial"/>
    </w:rPr>
  </w:style>
  <w:style w:type="paragraph" w:styleId="Header">
    <w:name w:val="header"/>
    <w:basedOn w:val="Normal"/>
    <w:link w:val="HeaderChar1"/>
    <w:uiPriority w:val="99"/>
    <w:rsid w:val="00972854"/>
    <w:pPr>
      <w:spacing w:after="0" w:line="240" w:lineRule="auto"/>
    </w:pPr>
  </w:style>
  <w:style w:type="paragraph" w:styleId="Footer">
    <w:name w:val="footer"/>
    <w:basedOn w:val="Normal"/>
    <w:rsid w:val="00972854"/>
    <w:pPr>
      <w:spacing w:after="0" w:line="240" w:lineRule="auto"/>
    </w:pPr>
  </w:style>
  <w:style w:type="paragraph" w:styleId="BalloonText">
    <w:name w:val="Balloon Text"/>
    <w:basedOn w:val="Normal"/>
    <w:rsid w:val="00972854"/>
    <w:pPr>
      <w:spacing w:after="0" w:line="240" w:lineRule="auto"/>
    </w:pPr>
    <w:rPr>
      <w:rFonts w:ascii="Tahoma" w:hAnsi="Tahoma" w:cs="Tahoma"/>
      <w:sz w:val="16"/>
      <w:szCs w:val="16"/>
    </w:rPr>
  </w:style>
  <w:style w:type="paragraph" w:customStyle="1" w:styleId="22">
    <w:name w:val="Текст примечания2"/>
    <w:basedOn w:val="Normal"/>
    <w:rsid w:val="00972854"/>
    <w:rPr>
      <w:sz w:val="20"/>
      <w:szCs w:val="20"/>
    </w:rPr>
  </w:style>
  <w:style w:type="paragraph" w:styleId="CommentSubject">
    <w:name w:val="annotation subject"/>
    <w:basedOn w:val="22"/>
    <w:next w:val="22"/>
    <w:rsid w:val="00972854"/>
    <w:rPr>
      <w:b/>
      <w:bCs/>
    </w:rPr>
  </w:style>
  <w:style w:type="paragraph" w:customStyle="1" w:styleId="14">
    <w:name w:val="Название1"/>
    <w:basedOn w:val="Normal"/>
    <w:rsid w:val="00972854"/>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972854"/>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972854"/>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972854"/>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972854"/>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972854"/>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972854"/>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972854"/>
    <w:rPr>
      <w:b/>
      <w:bCs/>
    </w:rPr>
  </w:style>
  <w:style w:type="paragraph" w:customStyle="1" w:styleId="1a">
    <w:name w:val="Текст выноски1"/>
    <w:basedOn w:val="Normal"/>
    <w:rsid w:val="00972854"/>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972854"/>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972854"/>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972854"/>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302</Words>
  <Characters>1727</Characters>
  <Application>Microsoft Office Word</Application>
  <DocSecurity>0</DocSecurity>
  <Lines>14</Lines>
  <Paragraphs>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2025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2020-08-10T07:49:00Z</dcterms:created>
  <dcterms:modified xsi:type="dcterms:W3CDTF">2020-08-10T07:49:00Z</dcterms:modified>
</cp:coreProperties>
</file>